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Business Report Q4 2025</w:t>
      </w:r>
    </w:p>
    <w:p>
      <w:r>
        <w:t>CONFIDENTIAL - Internal Use Only</w:t>
      </w:r>
    </w:p>
    <w:p>
      <w:r>
        <w:t>Generated: January 15, 2026</w:t>
      </w:r>
    </w:p>
    <w:p>
      <w:pPr>
        <w:pStyle w:val="Heading1"/>
      </w:pPr>
      <w:r>
        <w:t>Executive Summary</w:t>
      </w:r>
    </w:p>
    <w:p>
      <w:r>
        <w:t>This report provides a comprehensive overview of the company's performance during Q4 2025. The quarter showed strong growth in revenue and customer acquisition.</w:t>
      </w:r>
    </w:p>
    <w:p>
      <w:pPr>
        <w:pStyle w:val="Heading1"/>
      </w:pPr>
      <w:r>
        <w:t>Key Metrics</w:t>
      </w:r>
    </w:p>
    <w:p>
      <w:r>
        <w:rPr>
          <w:b/>
        </w:rPr>
        <w:t xml:space="preserve">Total Revenue: </w:t>
      </w:r>
      <w:r>
        <w:t xml:space="preserve">$2,450,000 </w:t>
      </w:r>
      <w:r>
        <w:rPr>
          <w:i/>
        </w:rPr>
        <w:t>(+15% YoY)</w:t>
      </w:r>
    </w:p>
    <w:p>
      <w:r>
        <w:rPr>
          <w:b/>
        </w:rPr>
        <w:t xml:space="preserve">New Customers: </w:t>
      </w:r>
      <w:r>
        <w:t xml:space="preserve">1,247 </w:t>
      </w:r>
      <w:r>
        <w:rPr>
          <w:i/>
        </w:rPr>
        <w:t>(+22% YoY)</w:t>
      </w:r>
    </w:p>
    <w:p>
      <w:r>
        <w:rPr>
          <w:b/>
        </w:rPr>
        <w:t xml:space="preserve">Churn Rate: </w:t>
      </w:r>
      <w:r>
        <w:t xml:space="preserve">2.1% </w:t>
      </w:r>
      <w:r>
        <w:rPr>
          <w:i/>
        </w:rPr>
        <w:t>(-0.5% YoY)</w:t>
      </w:r>
    </w:p>
    <w:p>
      <w:r>
        <w:rPr>
          <w:b/>
        </w:rPr>
        <w:t xml:space="preserve">Net Promoter Score: </w:t>
      </w:r>
      <w:r>
        <w:t xml:space="preserve">72 </w:t>
      </w:r>
      <w:r>
        <w:rPr>
          <w:i/>
        </w:rPr>
        <w:t>(+5 pts YoY)</w:t>
      </w:r>
    </w:p>
    <w:p>
      <w:pPr>
        <w:pStyle w:val="Heading1"/>
      </w:pPr>
      <w:r>
        <w:t>Department Performance</w:t>
      </w:r>
    </w:p>
    <w:p>
      <w:r>
        <w:t>Sales Department exceeded targets by 18%. Engineering delivered 12 major features. Marketing campaign ROI increased by 25%.</w:t>
      </w:r>
    </w:p>
    <w:p>
      <w:pPr>
        <w:pStyle w:val="Heading1"/>
      </w:pPr>
      <w:r>
        <w:t>Challenges &amp; Recommendations</w:t>
      </w:r>
    </w:p>
    <w:p>
      <w:r>
        <w:t>1. Supply chain delays - recommend diversifying suppliers</w:t>
      </w:r>
    </w:p>
    <w:p>
      <w:r>
        <w:t>2. Talent retention - implement new compensation packages</w:t>
      </w:r>
    </w:p>
    <w:p>
      <w:r>
        <w:t>3. Technical debt - allocate 20% of sprint capacity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Region</w:t>
            </w:r>
          </w:p>
        </w:tc>
        <w:tc>
          <w:tcPr>
            <w:tcW w:type="dxa" w:w="2160"/>
          </w:tcPr>
          <w:p>
            <w:r>
              <w:t>Revenue</w:t>
            </w:r>
          </w:p>
        </w:tc>
        <w:tc>
          <w:tcPr>
            <w:tcW w:type="dxa" w:w="2160"/>
          </w:tcPr>
          <w:p>
            <w:r>
              <w:t>Growth</w:t>
            </w:r>
          </w:p>
        </w:tc>
        <w:tc>
          <w:tcPr>
            <w:tcW w:type="dxa" w:w="2160"/>
          </w:tcPr>
          <w:p>
            <w:r>
              <w:t>Target</w:t>
            </w:r>
          </w:p>
        </w:tc>
      </w:tr>
      <w:tr>
        <w:tc>
          <w:tcPr>
            <w:tcW w:type="dxa" w:w="2160"/>
          </w:tcPr>
          <w:p>
            <w:r>
              <w:t>North America</w:t>
            </w:r>
          </w:p>
        </w:tc>
        <w:tc>
          <w:tcPr>
            <w:tcW w:type="dxa" w:w="2160"/>
          </w:tcPr>
          <w:p>
            <w:r>
              <w:t>$980,000</w:t>
            </w:r>
          </w:p>
        </w:tc>
        <w:tc>
          <w:tcPr>
            <w:tcW w:type="dxa" w:w="2160"/>
          </w:tcPr>
          <w:p>
            <w:r>
              <w:t>+12%</w:t>
            </w:r>
          </w:p>
        </w:tc>
        <w:tc>
          <w:tcPr>
            <w:tcW w:type="dxa" w:w="2160"/>
          </w:tcPr>
          <w:p>
            <w:r>
              <w:t>$900,000</w:t>
            </w:r>
          </w:p>
        </w:tc>
      </w:tr>
      <w:tr>
        <w:tc>
          <w:tcPr>
            <w:tcW w:type="dxa" w:w="2160"/>
          </w:tcPr>
          <w:p>
            <w:r>
              <w:t>Europe</w:t>
            </w:r>
          </w:p>
        </w:tc>
        <w:tc>
          <w:tcPr>
            <w:tcW w:type="dxa" w:w="2160"/>
          </w:tcPr>
          <w:p>
            <w:r>
              <w:t>$720,000</w:t>
            </w:r>
          </w:p>
        </w:tc>
        <w:tc>
          <w:tcPr>
            <w:tcW w:type="dxa" w:w="2160"/>
          </w:tcPr>
          <w:p>
            <w:r>
              <w:t>+18%</w:t>
            </w:r>
          </w:p>
        </w:tc>
        <w:tc>
          <w:tcPr>
            <w:tcW w:type="dxa" w:w="2160"/>
          </w:tcPr>
          <w:p>
            <w:r>
              <w:t>$650,000</w:t>
            </w:r>
          </w:p>
        </w:tc>
      </w:tr>
      <w:tr>
        <w:tc>
          <w:tcPr>
            <w:tcW w:type="dxa" w:w="2160"/>
          </w:tcPr>
          <w:p>
            <w:r>
              <w:t>Asia Pacific</w:t>
            </w:r>
          </w:p>
        </w:tc>
        <w:tc>
          <w:tcPr>
            <w:tcW w:type="dxa" w:w="2160"/>
          </w:tcPr>
          <w:p>
            <w:r>
              <w:t>$520,000</w:t>
            </w:r>
          </w:p>
        </w:tc>
        <w:tc>
          <w:tcPr>
            <w:tcW w:type="dxa" w:w="2160"/>
          </w:tcPr>
          <w:p>
            <w:r>
              <w:t>+25%</w:t>
            </w:r>
          </w:p>
        </w:tc>
        <w:tc>
          <w:tcPr>
            <w:tcW w:type="dxa" w:w="2160"/>
          </w:tcPr>
          <w:p>
            <w:r>
              <w:t>$450,000</w:t>
            </w:r>
          </w:p>
        </w:tc>
      </w:tr>
      <w:tr>
        <w:tc>
          <w:tcPr>
            <w:tcW w:type="dxa" w:w="2160"/>
          </w:tcPr>
          <w:p>
            <w:r>
              <w:t>Latin America</w:t>
            </w:r>
          </w:p>
        </w:tc>
        <w:tc>
          <w:tcPr>
            <w:tcW w:type="dxa" w:w="2160"/>
          </w:tcPr>
          <w:p>
            <w:r>
              <w:t>$230,000</w:t>
            </w:r>
          </w:p>
        </w:tc>
        <w:tc>
          <w:tcPr>
            <w:tcW w:type="dxa" w:w="2160"/>
          </w:tcPr>
          <w:p>
            <w:r>
              <w:t>+8%</w:t>
            </w:r>
          </w:p>
        </w:tc>
        <w:tc>
          <w:tcPr>
            <w:tcW w:type="dxa" w:w="2160"/>
          </w:tcPr>
          <w:p>
            <w:r>
              <w:t>$250,000</w:t>
            </w:r>
          </w:p>
        </w:tc>
      </w:tr>
    </w:tbl>
    <w:p/>
    <w:p>
      <w:r>
        <w:t>Prepared by: Analytics Team</w:t>
      </w:r>
    </w:p>
    <w:p>
      <w:r>
        <w:t>Approved by: CFO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